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济源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产城融合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示范区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关于推进服务业与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建筑业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提质升级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（征求意见稿）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为进一步推动“小升规”企业培育，促进示范区服务业、建筑业把握机遇、提质升级、做大做强，打造一批实力强、效益好的优质企业，促进示范区非工企业高质量发展，制定本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left="640" w:leftChars="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深入贯彻落实党的十九大精神，以习近平新时代中国特色社会主义思想为指导，坚持新发展理念，坚持高质量发展的根本方向，鼓励小微企业规范升级为规模以上企业，增强市场主体竞争力和抗风险能力，促进企业群体壮大，能力升级和活力迸发，为加快建设现代化经济体系和经济强区提供有力支撑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left="640" w:leftChars="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二、服务业与建筑业入库标准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（一）服务业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在济源示范区依法登记注册，交通运输、仓储和邮政业，信息传输、软件和信息技术服务业，卫生（行业营业收入2000万元以上）；房地产，租赁和商务服务业，科学研究和技术服务业，教育（行业营业收入1000万元以上）；居民服务、修理和其他服务业，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会工作，文化、体育和娱乐业（行业营业收入500万元以上）；批发（年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主营业务收入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达2000万元以上）、零售（年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主营业务收入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达500万元以上）、住宿（年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主营业务收入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达200万元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</w:rPr>
        <w:t>以上）、餐饮业（年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lang w:eastAsia="zh-CN"/>
        </w:rPr>
        <w:t>主营业务收入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</w:rPr>
        <w:t>达200万元以上）各类市场主体。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楷体_GB2312" w:cs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（二）建筑业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在济源示范区依法登记注册，有总承包、专业承包资质的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独立核算的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建筑业法人单位。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left="640" w:leftChars="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三、扶持政策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自2022年起，给予年度新增纳入统计范围的规上服务业企业、大个体给予2万元奖励资金，给予年度新增纳入统计范围的参与核算的规上服务业企业、大个体给予3万元奖励资金。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2022年起，对首次纳统的规上服务业企业（含在库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批发业、零售业、住宿业和餐饮业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大个体转为法人企业）产生的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增值税、企业所得税济源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留成部分，按照前三年50%、后二年25%的比例核算等额扶持资金，用于支持企业发展。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鼓励家居城、建材城、餐饮街区等商贸综合体、商品市场改变收银方式，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有独立的财务人员和统计人员、能独立报送财务和统计报表，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实现统一收银，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2"/>
          <w:szCs w:val="32"/>
          <w:lang w:eastAsia="zh-CN"/>
        </w:rPr>
        <w:t>并且财务实现统一核算，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注册为独立核算法人企业入库统计。入库当年零售额达到1000万元的企业，一次性奖励3万元，每增加1000万元再奖励企业2万元，最高不超过30万元。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2022年起，对首次纳入统计库的建筑业企业，年度完成建筑业产值1000万元以上，且年度纳税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济源实际留成部分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超过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万元的，一次性奖励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万元；年度完成建筑业产值2000万元以上，且年度纳税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济源实际留成部分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超过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万元的，一次性奖励5万元；年度完成建筑业产值3000万元以上，且年度纳税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济源实际留成部分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超过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万元的，一次性奖励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万元；年度完成建筑业产值5000万元以上，且年度纳税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济源实际留成部分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超过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150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万元的，一次性奖励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万元。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left="640" w:leftChars="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四、奖励资金申报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奖励资金申报单位应对申报所有信息资料的真实性实行承诺负责。对于弄虚作假申报奖励资金的企业，除追回奖励资金外，将依法依规严肃追究相关责任人的责任。在库企业5年内退库以同一法人代表重新注册企业或同一企业退库后再纳统，不享受该办法相关扶持政策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left="640" w:leftChars="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（一）建立梯度培育。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各区、镇（街道）要根据产业特点和市场主体实际情况，和市场监管、税务、人社部门紧密结合，积极做好排查，在已登记注册的个体工商户中选择经营良好、规模较大、符合中小企业划分标准的个体工商户，以不低于10%的比例建立“个转企”培育清单。对清单内产值和规模较大的个体工商户，重点推进，加快转型；对有一定实力但对“个转企”有顾虑的个体工商户，加大工作力度，积极引导扶持其转型；对规模较小但成长良好的个体工商户，做好基础性工作，加强培育。针对“小升规”，按照不低于发展预期数的2倍，建立规模以上服务业重点企业培育库，实施“一对一”精准对接服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（二）形成工作合力。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 xml:space="preserve">市场监管部门开通“个转企”登记绿色通道，按照变更程序办理，实施“先照后证”，同时出具《个体工商户转型升级为企业证明》，在不违反法律法规规定、不影响其他企业名称权的情况下，转型企业可最大限度保留原个体工商户名称中的字号和行业特点。针对“小升规”，税务部门要全面落实已出台支持企业发展的有关政策，支持享受税收返还、投资补贴、产品推广和参加促消费等政策优惠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（三）加强信息共享。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税务部门要定期对服务业、建筑业企业进行梳理，列出清单，核实企业营业收入、税收等情况，每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月底之前将达到入库标准的企业名单发送到发展改革和统计局。发展改革和统计局将达到标准的企业名单下达到各区、镇（街道），各区、镇（街道）要压实属地责任，推动即时入库，推进应入尽入。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2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楷体_GB2312" w:cs="楷体_GB2312"/>
          <w:b/>
          <w:bCs/>
          <w:sz w:val="32"/>
          <w:szCs w:val="32"/>
        </w:rPr>
        <w:t>）落实优惠政策。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本方案中享受主体的认定、审核标准、申报流程、兑现金额、兑现时限和落实监督等由发展改革和统计局牵头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出具实施细则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发展改革和统计局、住建局按照实施细则，根据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济源市涉企优惠政策审批流程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兑现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落实。本办法所列有关奖励扶持资金由示范区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、镇（街道）两级财政各一半兑现，原则上每年兑现一次，特殊情况不受此限制。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附件：规上服务业分行业入库规模标准</w:t>
      </w: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5"/>
        <w:tblW w:w="89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7"/>
        <w:gridCol w:w="40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06" w:type="dxa"/>
            <w:gridSpan w:val="2"/>
            <w:tcBorders>
              <w:top w:val="nil"/>
              <w:bottom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规上服务业分行业入库规模标准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ESI仿宋-GB2312" w:hAnsi="CESI仿宋-GB2312" w:eastAsia="CESI仿宋-GB2312" w:cs="CESI仿宋-GB2312"/>
                <w:b/>
                <w:bCs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行业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CESI仿宋-GB2312" w:hAnsi="CESI仿宋-GB2312" w:eastAsia="CESI仿宋-GB2312" w:cs="CESI仿宋-GB2312"/>
                <w:b/>
                <w:bCs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32"/>
                <w:szCs w:val="32"/>
              </w:rPr>
              <w:t>入库标准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交通运输、仓储和邮政业</w:t>
            </w:r>
          </w:p>
        </w:tc>
        <w:tc>
          <w:tcPr>
            <w:tcW w:w="401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年营业收入2000万元以上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信息传输、软件和信息技术服务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年营业收入2000万元以上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水利、环境和公共设施管理业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年营业收入2000万元以上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卫生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年营业收入2000万元以上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批发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主营业务收入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达2000万元以上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租赁和商务服务业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科学研究和技术服务业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教育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物业管理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房地产中介服务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房地产租赁经营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其他房地产业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年营业收入1000万元以上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居民服务、修理和其他服务业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年营业收入500万元以上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文化、体育和娱乐业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年营业收入500万元以上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社会工作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年营业收入500万元以上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零售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主营业务收入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达500万元以上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住宿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主营业务收入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达200万元以上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488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餐饮业</w:t>
            </w:r>
          </w:p>
        </w:tc>
        <w:tc>
          <w:tcPr>
            <w:tcW w:w="401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主营业务收入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达200万元以上</w:t>
            </w:r>
          </w:p>
        </w:tc>
      </w:tr>
    </w:tbl>
    <w:p>
      <w:pPr>
        <w:widowControl w:val="0"/>
        <w:wordWrap/>
        <w:adjustRightInd/>
        <w:snapToGrid/>
        <w:spacing w:before="0" w:after="0" w:line="5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注：参与核算的服务业行业包含租赁和商务服务业，科学研究和技术服务业，居民服务、修理和其他服务业，文化、体育和娱乐业，互联网和相关服务业，软件和信息技术服务业，多式</w:t>
      </w:r>
      <w:r>
        <w:rPr>
          <w:rFonts w:hint="eastAsia" w:ascii="仿宋_GB2312" w:hAnsi="仿宋_GB2312" w:eastAsia="仿宋_GB2312" w:cs="仿宋_GB2312"/>
          <w:sz w:val="32"/>
          <w:szCs w:val="32"/>
        </w:rPr>
        <w:t>联运和运输代理业，装卸搬运和仓储业。</w:t>
      </w:r>
    </w:p>
    <w:sectPr>
      <w:pgSz w:w="11906" w:h="16838"/>
      <w:pgMar w:top="1417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doNotShadeFormData w:val="true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F298C9"/>
    <w:rsid w:val="3C5B6007"/>
    <w:rsid w:val="40C9036E"/>
    <w:rsid w:val="4DCCD86D"/>
    <w:rsid w:val="5230146F"/>
    <w:rsid w:val="57FF2305"/>
    <w:rsid w:val="5D1EA195"/>
    <w:rsid w:val="620F4203"/>
    <w:rsid w:val="62E70DBC"/>
    <w:rsid w:val="664CC880"/>
    <w:rsid w:val="6AFB2F3F"/>
    <w:rsid w:val="70F9A815"/>
    <w:rsid w:val="75F749A4"/>
    <w:rsid w:val="79252CB9"/>
    <w:rsid w:val="7DEFF350"/>
    <w:rsid w:val="7F5DC69E"/>
    <w:rsid w:val="7F7DA66C"/>
    <w:rsid w:val="7FD729C9"/>
    <w:rsid w:val="B16FF130"/>
    <w:rsid w:val="CFBEF889"/>
    <w:rsid w:val="E56754A4"/>
    <w:rsid w:val="FFDFBC93"/>
    <w:rsid w:val="FFEF2C9F"/>
    <w:rsid w:val="FFEFD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眉 Char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2399</Words>
  <Characters>2504</Characters>
  <Lines>18</Lines>
  <Paragraphs>5</Paragraphs>
  <TotalTime>14</TotalTime>
  <ScaleCrop>false</ScaleCrop>
  <LinksUpToDate>false</LinksUpToDate>
  <CharactersWithSpaces>2505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2022-04-08T02:56:00Z</dcterms:created>
  <dc:creator>86139</dc:creator>
  <cp:lastModifiedBy>greatwall</cp:lastModifiedBy>
  <cp:lastPrinted>2022-09-23T02:56:00Z</cp:lastPrinted>
  <dcterms:modified xsi:type="dcterms:W3CDTF">2022-10-18T14:54:00Z</dcterms:modified>
  <dc:title>济源示范区服务业、建筑业提质升级奖励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55F9259F27574C1C9376AEC82F52A8D2</vt:lpwstr>
  </property>
</Properties>
</file>